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Developing the UML diagram for the individual functions that will be coded in the following week.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Preparing notes to discuss tomorrow for our in person meeting to finalize design choices before coding.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Discussing our findings in person.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UML diagram and making sure all inputs are possible to calculate or retrieve from a source.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Clarified how the 1, 5, and 15-minute comparisons should be presented.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Narrowed down which metrics feel most valuable to focus on first.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Outlined a smoother step-by-step flow for how someone would use the system.</w:t>
      </w:r>
    </w:p>
    <w:p w:rsidR="00000000" w:rsidDel="00000000" w:rsidP="00000000" w:rsidRDefault="00000000" w:rsidRPr="00000000" w14:paraId="0000001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Decide on a simple structure for displaying comparisons in a clear way.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Draft a priority list of fields and metrics for the first version.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 the user flow to make it easier to follow from beginning to end.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Striking a balance between </w:t>
      </w:r>
      <w:r w:rsidDel="00000000" w:rsidR="00000000" w:rsidRPr="00000000">
        <w:rPr>
          <w:b w:val="1"/>
          <w:bCs w:val="1"/>
          <w:rtl w:val="0"/>
        </w:rPr>
        <w:t xml:space="preserve">simplicity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bCs w:val="1"/>
          <w:rtl w:val="0"/>
        </w:rPr>
        <w:t xml:space="preserve">enough detail</w:t>
      </w:r>
      <w:r w:rsidDel="00000000" w:rsidR="00000000" w:rsidRPr="00000000">
        <w:rPr>
          <w:rtl w:val="0"/>
        </w:rPr>
        <w:t xml:space="preserve"> for meaningful insights.</w:t>
        <w:br w:type="textWrapping"/>
        <w:t xml:space="preserve">Figuring out the best way to present multiple metrics without clutter.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 User Story 1: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through the Twelve Data API docs to see which endpoints provide bid/ask and real-time price data.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Made a short list of the fields we’ll likely need for spread and timing calculations.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 User Story 6: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a simple Flask example to understand how to call an external API from a Python route.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Sketched an outline for one endpoint that could retrieve Twelve Data quotes for testing.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a sample call to a Twelve Data endpoint and record the returned fields.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more detail to the draft API contract and endpoint list.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need to confirm if the free Twelve Data tier offers sufficient historical bid/ask depth for accurate metrics.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Haven’t finalized which backend framework will best integrate with the React frontend.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Next research for the backend should focus on role-based access, pagination, and filtering, while improving reliability with validation, error handling, and rate limiting. From there, explore testing strategies, CI/CD automation, and monitoring tools. For long-term growth, look into scaling methods like caching, load balancing, and versioning, as well as advanced options such as GraphQL, gRPC, and microservices.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Explore Youtube to gather knowledge on various areas to better understand the architecture and plans as the weeks progress, getting close to actually developing the project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Connecting the dots on technologies 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Reading documentation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MIgrated Node image (6 CVEs) to Chainguard Node Image (0 CVEs):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new entry point for UI service due to issues with the Chainguard image CMD call.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Removed CMD from UI service in docker-compose.yml to set it up in the package.json as part of the build section.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Green Vault UI image is minimalist by only keeping the src/ files and index.html (+ package.json and package-lock.json files for configuration).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worked on </w:t>
      </w:r>
      <w:r w:rsidDel="00000000" w:rsidR="00000000" w:rsidRPr="00000000">
        <w:rPr>
          <w:b w:val="1"/>
          <w:bCs w:val="1"/>
          <w:rtl w:val="0"/>
        </w:rPr>
        <w:t xml:space="preserve">User Story 8:</w:t>
      </w:r>
      <w:r w:rsidDel="00000000" w:rsidR="00000000" w:rsidRPr="00000000">
        <w:rPr>
          <w:rtl w:val="0"/>
        </w:rPr>
        <w:t xml:space="preserve"> Research database selection and schema design.</w:t>
      </w:r>
    </w:p>
    <w:p w:rsidR="00000000" w:rsidDel="00000000" w:rsidP="00000000" w:rsidRDefault="00000000" w:rsidRPr="00000000" w14:paraId="00000045">
      <w:pPr>
        <w:numPr>
          <w:ilvl w:val="2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Required fields: timestamp, price, quantity, side, symbol, user_id (if user is created).</w:t>
      </w:r>
    </w:p>
    <w:p w:rsidR="00000000" w:rsidDel="00000000" w:rsidP="00000000" w:rsidRDefault="00000000" w:rsidRPr="00000000" w14:paraId="00000046">
      <w:pPr>
        <w:numPr>
          <w:ilvl w:val="2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Fields to consider: MKT VWAP, Trade VWAP, VWAP slippage, effective spread, realized spread, price impact, implementation shortfall.</w:t>
      </w:r>
    </w:p>
    <w:p w:rsidR="00000000" w:rsidDel="00000000" w:rsidP="00000000" w:rsidRDefault="00000000" w:rsidRPr="00000000" w14:paraId="00000047">
      <w:pPr>
        <w:numPr>
          <w:ilvl w:val="2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These fields are calculations to be performed in the Analyzer module. They can be useful for training purposes of machine learning models in the future.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making the schema design for the database: design tables and distribute the fields into the tables.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out for required entities for the database.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out for required relations for the database.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a final design for the database because we have to analyze which fields are important to be stored that can be useful for future products/implementations.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Defining crucial entities for the DB (e.g. user, ‘VWAP values’, etc) since I don’t have plenty of knowledge in the subject. I will talk to Giorgio to know more about how those calculations are performed.</w:t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Giorgio-Abboud/Green-Vault/pull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